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59" w:rsidRDefault="00EB1759" w:rsidP="00EB1759">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EB1759" w:rsidRDefault="00EB1759" w:rsidP="00EB1759">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160/2016-JN</w:t>
      </w:r>
      <w:r>
        <w:rPr>
          <w:rFonts w:asciiTheme="minorHAnsi" w:hAnsiTheme="minorHAnsi" w:cstheme="minorHAnsi"/>
          <w:color w:val="767171" w:themeColor="background2" w:themeShade="80"/>
          <w:sz w:val="26"/>
          <w:szCs w:val="26"/>
        </w:rPr>
        <w:t xml:space="preserve">, promovido por la ciudadana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EB1759" w:rsidRDefault="00EB1759" w:rsidP="00EB1759">
      <w:pPr>
        <w:jc w:val="both"/>
        <w:rPr>
          <w:color w:val="767171" w:themeColor="background2" w:themeShade="80"/>
        </w:rPr>
      </w:pPr>
    </w:p>
    <w:p w:rsidR="00EB1759" w:rsidRDefault="00EB1759" w:rsidP="00EB1759">
      <w:pPr>
        <w:pStyle w:val="Textoindependienteprimerasangra"/>
        <w:ind w:firstLine="0"/>
        <w:jc w:val="both"/>
        <w:rPr>
          <w:rFonts w:asciiTheme="minorHAnsi" w:hAnsiTheme="minorHAnsi" w:cstheme="minorHAnsi"/>
          <w:b/>
          <w:bCs/>
          <w:i/>
          <w:iCs/>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w:t>
      </w:r>
    </w:p>
    <w:p w:rsidR="00EB1759" w:rsidRDefault="00EB1759" w:rsidP="00EB1759">
      <w:pPr>
        <w:pStyle w:val="Textoindependienteprimerasangra"/>
        <w:ind w:firstLine="708"/>
        <w:jc w:val="both"/>
        <w:rPr>
          <w:rFonts w:asciiTheme="minorHAnsi" w:hAnsiTheme="minorHAnsi" w:cstheme="minorHAnsi"/>
          <w:b/>
          <w:i/>
          <w:iCs/>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b/>
          <w:i/>
          <w:iCs/>
          <w:color w:val="767171" w:themeColor="background2" w:themeShade="80"/>
          <w:sz w:val="26"/>
          <w:szCs w:val="26"/>
        </w:rPr>
      </w:pPr>
    </w:p>
    <w:p w:rsidR="00EB1759" w:rsidRDefault="00EB1759" w:rsidP="00EB1759">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160/2016-JN</w:t>
      </w:r>
    </w:p>
    <w:p w:rsidR="00EB1759" w:rsidRDefault="00EB1759" w:rsidP="00EB1759">
      <w:pPr>
        <w:pStyle w:val="Textoindependienteprimerasangra"/>
        <w:ind w:firstLine="708"/>
        <w:jc w:val="both"/>
        <w:rPr>
          <w:rFonts w:asciiTheme="minorHAnsi" w:hAnsiTheme="minorHAnsi" w:cstheme="minorHAnsi"/>
          <w:b/>
          <w:i/>
          <w:iCs/>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GCA/2033/15</w:t>
      </w:r>
      <w:r>
        <w:rPr>
          <w:rFonts w:asciiTheme="minorHAnsi" w:hAnsiTheme="minorHAnsi" w:cstheme="minorHAnsi"/>
          <w:color w:val="767171" w:themeColor="background2" w:themeShade="80"/>
          <w:sz w:val="26"/>
          <w:szCs w:val="26"/>
        </w:rPr>
        <w:t xml:space="preserve"> de fecha 23 veintitrés de diciembre  del  año 2015 dos mil quince, mismo que aportado por la actora,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 . . . . . . . </w:t>
      </w:r>
    </w:p>
    <w:p w:rsidR="00EB1759" w:rsidRDefault="00EB1759" w:rsidP="00EB1759">
      <w:pPr>
        <w:pStyle w:val="Textoindependienteprimerasangra"/>
        <w:jc w:val="both"/>
        <w:rPr>
          <w:rFonts w:asciiTheme="minorHAnsi" w:hAnsiTheme="minorHAnsi" w:cstheme="minorHAnsi"/>
          <w:b/>
          <w: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B1759" w:rsidRDefault="00EB1759" w:rsidP="00EB1759">
      <w:pPr>
        <w:pStyle w:val="Textoindependienteprimerasangra"/>
        <w:ind w:firstLine="0"/>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 xml:space="preserve">que el acto impugnado no afecta el interés jurídico de la actora y, que dicho acto, no constituye un acto administrativo. . . . . . . . . . .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la impugnadora,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EB1759" w:rsidRDefault="00EB1759" w:rsidP="00EB1759">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EB1759" w:rsidRDefault="00EB1759" w:rsidP="00EB1759">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EB1759" w:rsidRDefault="00EB1759" w:rsidP="00EB1759">
      <w:pPr>
        <w:pStyle w:val="Textoindependienteprimerasangra"/>
        <w:ind w:firstLine="0"/>
        <w:jc w:val="both"/>
        <w:rPr>
          <w:rFonts w:asciiTheme="minorHAnsi" w:hAnsiTheme="minorHAnsi" w:cstheme="minorHAnsi"/>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la actora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la impetrante del proceso tiene interés jurídico. . . . . . . .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 la actora, que se contenían en el Reglamento de los Servicios de Agua Potable, Alcantarillado y Saneamiento para el Municipio de León, Guanajuato (vigente hasta el 2 dos de junio del 2017 dos mil diecisiete), de ahí que </w:t>
      </w:r>
      <w:r>
        <w:rPr>
          <w:rFonts w:asciiTheme="minorHAnsi" w:hAnsiTheme="minorHAnsi" w:cstheme="minorHAnsi"/>
          <w:color w:val="767171" w:themeColor="background2" w:themeShade="80"/>
          <w:sz w:val="26"/>
          <w:szCs w:val="26"/>
        </w:rPr>
        <w:lastRenderedPageBreak/>
        <w:t>la respuesta dada por el enjuiciado, constituya un acto administrativo . . . . . . . . . . . . . . . . . . . . . . . . . . . . . . . . .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EB1759" w:rsidRDefault="00EB1759" w:rsidP="00EB1759">
      <w:pPr>
        <w:pStyle w:val="Sangra3detindependiente"/>
        <w:rPr>
          <w:rFonts w:asciiTheme="minorHAnsi" w:hAnsiTheme="minorHAnsi" w:cstheme="minorHAnsi"/>
          <w:b/>
          <w:bCs/>
          <w:i/>
          <w:iCs/>
          <w:color w:val="767171" w:themeColor="background2" w:themeShade="80"/>
          <w:sz w:val="20"/>
          <w:szCs w:val="20"/>
        </w:rPr>
      </w:pPr>
    </w:p>
    <w:p w:rsidR="00EB1759" w:rsidRDefault="00EB1759" w:rsidP="00EB1759">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la actora;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EB1759" w:rsidRDefault="00EB1759" w:rsidP="00EB1759">
      <w:pPr>
        <w:jc w:val="both"/>
        <w:rPr>
          <w:rFonts w:ascii="Calibri" w:hAnsi="Calibri"/>
          <w:color w:val="767171" w:themeColor="background2" w:themeShade="80"/>
          <w:sz w:val="26"/>
        </w:rPr>
      </w:pPr>
    </w:p>
    <w:p w:rsidR="00EB1759" w:rsidRDefault="00EB1759" w:rsidP="00EB1759">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la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w:t>
      </w:r>
    </w:p>
    <w:p w:rsidR="00EB1759" w:rsidRDefault="00EB1759" w:rsidP="00EB1759">
      <w:pPr>
        <w:jc w:val="both"/>
        <w:rPr>
          <w:rFonts w:ascii="Calibri" w:hAnsi="Calibri"/>
          <w:color w:val="767171" w:themeColor="background2" w:themeShade="80"/>
          <w:sz w:val="26"/>
        </w:rPr>
      </w:pPr>
    </w:p>
    <w:p w:rsidR="00EB1759" w:rsidRDefault="00EB1759" w:rsidP="00EB1759">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la actora, el Gerente de Calidad del Agua del Sistema de Agua Potable y Alcantarillado de León, Guanajuato, emitió el oficio </w:t>
      </w:r>
      <w:r>
        <w:rPr>
          <w:rFonts w:asciiTheme="minorHAnsi" w:hAnsiTheme="minorHAnsi" w:cstheme="minorHAnsi"/>
          <w:b/>
          <w:color w:val="767171" w:themeColor="background2" w:themeShade="80"/>
          <w:sz w:val="26"/>
          <w:szCs w:val="26"/>
        </w:rPr>
        <w:t>GCA/2033/15</w:t>
      </w:r>
      <w:r>
        <w:rPr>
          <w:rFonts w:asciiTheme="minorHAnsi" w:hAnsiTheme="minorHAnsi" w:cstheme="minorHAnsi"/>
          <w:color w:val="767171" w:themeColor="background2" w:themeShade="80"/>
          <w:sz w:val="26"/>
          <w:szCs w:val="26"/>
        </w:rPr>
        <w:t xml:space="preserve"> de fecha 23 veintitrés</w:t>
      </w:r>
      <w:r>
        <w:rPr>
          <w:rFonts w:ascii="Calibri" w:hAnsi="Calibri"/>
          <w:color w:val="767171" w:themeColor="background2" w:themeShade="80"/>
          <w:sz w:val="26"/>
        </w:rPr>
        <w:t xml:space="preserv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 . . . . . . . . . . . . . . . . . . . .</w:t>
      </w:r>
      <w:r>
        <w:rPr>
          <w:rFonts w:asciiTheme="minorHAnsi" w:hAnsiTheme="minorHAnsi" w:cstheme="minorHAnsi"/>
          <w:color w:val="767171" w:themeColor="background2" w:themeShade="80"/>
          <w:sz w:val="26"/>
          <w:szCs w:val="26"/>
        </w:rPr>
        <w:t xml:space="preserve">. </w:t>
      </w:r>
    </w:p>
    <w:p w:rsidR="00EB1759" w:rsidRDefault="00EB1759" w:rsidP="00EB1759">
      <w:pPr>
        <w:jc w:val="both"/>
        <w:rPr>
          <w:rFonts w:ascii="Calibri" w:hAnsi="Calibri"/>
          <w:color w:val="767171" w:themeColor="background2" w:themeShade="80"/>
          <w:sz w:val="26"/>
        </w:rPr>
      </w:pPr>
    </w:p>
    <w:p w:rsidR="00EB1759" w:rsidRDefault="00EB1759" w:rsidP="00EB1759">
      <w:pPr>
        <w:ind w:firstLine="708"/>
        <w:jc w:val="both"/>
        <w:rPr>
          <w:rFonts w:ascii="Calibri" w:hAnsi="Calibri"/>
          <w:color w:val="767171" w:themeColor="background2" w:themeShade="80"/>
          <w:sz w:val="26"/>
        </w:rPr>
      </w:pPr>
    </w:p>
    <w:p w:rsidR="00EB1759" w:rsidRDefault="00EB1759" w:rsidP="00EB1759">
      <w:pPr>
        <w:ind w:firstLine="708"/>
        <w:jc w:val="both"/>
        <w:rPr>
          <w:rFonts w:ascii="Calibri" w:hAnsi="Calibri"/>
          <w:color w:val="767171" w:themeColor="background2" w:themeShade="80"/>
          <w:sz w:val="26"/>
        </w:rPr>
      </w:pPr>
    </w:p>
    <w:p w:rsidR="00EB1759" w:rsidRDefault="00EB1759" w:rsidP="00EB1759">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160/2016-JN</w:t>
      </w:r>
    </w:p>
    <w:p w:rsidR="00EB1759" w:rsidRDefault="00EB1759" w:rsidP="00EB1759">
      <w:pPr>
        <w:ind w:firstLine="708"/>
        <w:jc w:val="both"/>
        <w:rPr>
          <w:rFonts w:ascii="Calibri" w:hAnsi="Calibri"/>
          <w:color w:val="767171" w:themeColor="background2" w:themeShade="80"/>
          <w:sz w:val="26"/>
        </w:rPr>
      </w:pPr>
    </w:p>
    <w:p w:rsidR="00EB1759" w:rsidRDefault="00EB1759" w:rsidP="00EB1759">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EB1759" w:rsidRDefault="00EB1759" w:rsidP="00EB1759">
      <w:pPr>
        <w:jc w:val="both"/>
        <w:rPr>
          <w:rFonts w:ascii="Calibri" w:hAnsi="Calibri"/>
          <w:color w:val="767171" w:themeColor="background2" w:themeShade="80"/>
          <w:sz w:val="26"/>
        </w:rPr>
      </w:pPr>
    </w:p>
    <w:p w:rsidR="00EB1759" w:rsidRDefault="00EB1759" w:rsidP="00EB1759">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la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EB1759" w:rsidRDefault="00EB1759" w:rsidP="00EB1759">
      <w:pPr>
        <w:ind w:firstLine="708"/>
        <w:jc w:val="both"/>
        <w:rPr>
          <w:rFonts w:ascii="Calibri" w:hAnsi="Calibri"/>
          <w:color w:val="767171" w:themeColor="background2" w:themeShade="80"/>
          <w:sz w:val="26"/>
          <w:lang w:val="es-MX"/>
        </w:rPr>
      </w:pPr>
    </w:p>
    <w:p w:rsidR="00EB1759" w:rsidRDefault="00EB1759" w:rsidP="00EB1759">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lastRenderedPageBreak/>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b/>
          <w:color w:val="767171" w:themeColor="background2" w:themeShade="80"/>
          <w:sz w:val="26"/>
          <w:szCs w:val="26"/>
        </w:rPr>
        <w:t>GCA/2033/15</w:t>
      </w:r>
      <w:r>
        <w:rPr>
          <w:rFonts w:asciiTheme="minorHAnsi" w:hAnsiTheme="minorHAnsi" w:cstheme="minorHAnsi"/>
          <w:color w:val="767171" w:themeColor="background2" w:themeShade="80"/>
          <w:sz w:val="26"/>
          <w:szCs w:val="26"/>
        </w:rPr>
        <w:t xml:space="preserve"> de fecha 23 veintitrés</w:t>
      </w:r>
      <w:r>
        <w:rPr>
          <w:rFonts w:ascii="Calibri" w:hAnsi="Calibri"/>
          <w:color w:val="767171" w:themeColor="background2" w:themeShade="80"/>
          <w:sz w:val="26"/>
        </w:rPr>
        <w:t xml:space="preserv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EB1759" w:rsidRDefault="00EB1759" w:rsidP="00EB1759">
      <w:pPr>
        <w:ind w:firstLine="708"/>
        <w:jc w:val="both"/>
        <w:rPr>
          <w:rFonts w:ascii="Calibri" w:hAnsi="Calibri"/>
          <w:color w:val="767171" w:themeColor="background2" w:themeShade="80"/>
          <w:sz w:val="26"/>
        </w:rPr>
      </w:pPr>
    </w:p>
    <w:p w:rsidR="00EB1759" w:rsidRDefault="00EB1759" w:rsidP="00EB1759">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la actora en su escrito de demanda; sin necesidad de transcribirlo en su totalidad, sirviendo para ello el criterio sostenido por el Tribunal Colegiado de Circuito del Poder Judicial de la Federación, en la siguiente Jurisprudencia: . . . . . . . . . . . . . . . . . . . . .. </w:t>
      </w:r>
    </w:p>
    <w:p w:rsidR="00EB1759" w:rsidRDefault="00EB1759" w:rsidP="00EB1759">
      <w:pPr>
        <w:pStyle w:val="NormalWeb"/>
        <w:spacing w:before="0" w:beforeAutospacing="0" w:after="0" w:afterAutospacing="0"/>
        <w:rPr>
          <w:color w:val="767171" w:themeColor="background2" w:themeShade="80"/>
          <w:lang w:val="es-ES"/>
        </w:rPr>
      </w:pPr>
    </w:p>
    <w:p w:rsidR="00EB1759" w:rsidRDefault="00EB1759" w:rsidP="00EB1759">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EB1759" w:rsidRDefault="00EB1759" w:rsidP="00EB1759"/>
    <w:p w:rsidR="00EB1759" w:rsidRDefault="00EB1759" w:rsidP="00EB1759">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la actora aduce, “grosso modo”, que el oficio controvertido carece de la debida fundamentación y motivación, ya que es inexacto e impreciso sobre el trámite administrativo solicitado. . . . . . . . . . . . . . . . . . . . . . . . . . . . . . . . . . . . . . . . . . . . . . . . . . . . . . . . . . . . . </w:t>
      </w:r>
    </w:p>
    <w:p w:rsidR="00EB1759" w:rsidRDefault="00EB1759" w:rsidP="00EB1759">
      <w:pPr>
        <w:jc w:val="both"/>
        <w:rPr>
          <w:rFonts w:asciiTheme="minorHAnsi" w:hAnsiTheme="minorHAnsi" w:cstheme="minorHAnsi"/>
          <w:color w:val="767171" w:themeColor="background2" w:themeShade="80"/>
          <w:sz w:val="26"/>
          <w:szCs w:val="26"/>
        </w:rPr>
      </w:pPr>
    </w:p>
    <w:p w:rsidR="00EB1759" w:rsidRDefault="00EB1759" w:rsidP="00EB1759">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EB1759" w:rsidRDefault="00EB1759" w:rsidP="00EB1759">
      <w:pPr>
        <w:pStyle w:val="Sangra3detindependiente"/>
        <w:rPr>
          <w:rFonts w:asciiTheme="minorHAnsi" w:hAnsiTheme="minorHAnsi" w:cstheme="minorHAnsi"/>
          <w:color w:val="767171" w:themeColor="background2" w:themeShade="80"/>
        </w:rPr>
      </w:pPr>
    </w:p>
    <w:p w:rsidR="00EB1759" w:rsidRDefault="00EB1759" w:rsidP="00EB1759">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b/>
          <w:color w:val="767171" w:themeColor="background2" w:themeShade="80"/>
          <w:sz w:val="26"/>
          <w:szCs w:val="26"/>
        </w:rPr>
        <w:t>GCA/2033/15</w:t>
      </w:r>
      <w:r>
        <w:rPr>
          <w:rFonts w:asciiTheme="minorHAnsi" w:hAnsiTheme="minorHAnsi" w:cstheme="minorHAnsi"/>
          <w:color w:val="767171" w:themeColor="background2" w:themeShade="80"/>
          <w:sz w:val="26"/>
          <w:szCs w:val="26"/>
        </w:rPr>
        <w:t xml:space="preserve"> de fecha 23 veintitrés</w:t>
      </w:r>
      <w:r>
        <w:rPr>
          <w:rFonts w:ascii="Calibri" w:hAnsi="Calibri"/>
          <w:color w:val="767171" w:themeColor="background2" w:themeShade="80"/>
          <w:sz w:val="26"/>
          <w:szCs w:val="26"/>
        </w:rPr>
        <w:t xml:space="preserv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EB1759" w:rsidRDefault="00EB1759" w:rsidP="00EB1759">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w:t>
      </w:r>
      <w:r>
        <w:rPr>
          <w:rFonts w:ascii="Calibri" w:hAnsi="Calibri"/>
          <w:bCs/>
          <w:color w:val="767171" w:themeColor="background2" w:themeShade="80"/>
          <w:sz w:val="26"/>
        </w:rPr>
        <w:lastRenderedPageBreak/>
        <w:t xml:space="preserve">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EB1759" w:rsidRDefault="00EB1759" w:rsidP="00EB1759">
      <w:pPr>
        <w:jc w:val="both"/>
        <w:rPr>
          <w:rFonts w:ascii="Calibri" w:hAnsi="Calibri"/>
          <w:bCs/>
          <w:color w:val="767171" w:themeColor="background2" w:themeShade="80"/>
          <w:sz w:val="26"/>
        </w:rPr>
      </w:pPr>
    </w:p>
    <w:p w:rsidR="00EB1759" w:rsidRDefault="00EB1759" w:rsidP="00EB1759">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la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EB1759" w:rsidRDefault="00EB1759" w:rsidP="00EB1759">
      <w:pPr>
        <w:jc w:val="both"/>
        <w:rPr>
          <w:rFonts w:ascii="Calibri" w:hAnsi="Calibri"/>
          <w:bCs/>
          <w:color w:val="767171" w:themeColor="background2" w:themeShade="80"/>
          <w:sz w:val="26"/>
        </w:rPr>
      </w:pPr>
    </w:p>
    <w:p w:rsidR="00EB1759" w:rsidRDefault="00EB1759" w:rsidP="00EB1759">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GCA/2033/15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23</w:t>
      </w:r>
      <w:r>
        <w:rPr>
          <w:rFonts w:asciiTheme="minorHAnsi" w:hAnsiTheme="minorHAnsi" w:cstheme="minorHAnsi"/>
          <w:color w:val="767171" w:themeColor="background2" w:themeShade="80"/>
          <w:sz w:val="26"/>
          <w:szCs w:val="26"/>
        </w:rPr>
        <w:t xml:space="preserve"> veintitrés</w:t>
      </w:r>
      <w:r>
        <w:rPr>
          <w:rFonts w:ascii="Calibri" w:hAnsi="Calibri" w:cs="Calibri"/>
          <w:color w:val="767171" w:themeColor="background2" w:themeShade="80"/>
          <w:sz w:val="26"/>
          <w:szCs w:val="26"/>
        </w:rPr>
        <w:t xml:space="preserv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la ciudadana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 . . . </w:t>
      </w:r>
    </w:p>
    <w:p w:rsidR="00EB1759" w:rsidRDefault="00EB1759" w:rsidP="00EB1759">
      <w:pPr>
        <w:ind w:firstLine="708"/>
        <w:jc w:val="both"/>
        <w:rPr>
          <w:rFonts w:ascii="Calibri" w:hAnsi="Calibri" w:cs="Calibri"/>
          <w:color w:val="767171" w:themeColor="background2" w:themeShade="80"/>
          <w:sz w:val="26"/>
          <w:szCs w:val="26"/>
        </w:rPr>
      </w:pPr>
    </w:p>
    <w:p w:rsidR="00EB1759" w:rsidRDefault="00EB1759" w:rsidP="00EB17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EB1759" w:rsidRDefault="00EB1759" w:rsidP="00EB1759">
      <w:pPr>
        <w:pStyle w:val="Textoindependiente"/>
        <w:rPr>
          <w:rFonts w:ascii="Calibri" w:hAnsi="Calibri"/>
          <w:color w:val="767171" w:themeColor="background2" w:themeShade="80"/>
        </w:rPr>
      </w:pPr>
    </w:p>
    <w:p w:rsidR="00EB1759" w:rsidRDefault="00EB1759" w:rsidP="00EB1759">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w:t>
      </w:r>
    </w:p>
    <w:p w:rsidR="00EB1759" w:rsidRDefault="00EB1759" w:rsidP="00EB1759">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lastRenderedPageBreak/>
        <w:t>Expediente número 160/2016-JN</w:t>
      </w:r>
    </w:p>
    <w:p w:rsidR="00EB1759" w:rsidRDefault="00EB1759" w:rsidP="00EB1759">
      <w:pPr>
        <w:pStyle w:val="Textoindependiente"/>
        <w:rPr>
          <w:rFonts w:ascii="Calibri" w:hAnsi="Calibri" w:cs="Goudy"/>
          <w:i/>
          <w:iCs/>
          <w:color w:val="767171" w:themeColor="background2" w:themeShade="80"/>
          <w:sz w:val="27"/>
          <w:szCs w:val="26"/>
        </w:rPr>
      </w:pPr>
    </w:p>
    <w:p w:rsidR="00EB1759" w:rsidRDefault="00EB1759" w:rsidP="00EB1759">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fundamentación</w:t>
      </w:r>
      <w:proofErr w:type="gramEnd"/>
      <w:r>
        <w:rPr>
          <w:rFonts w:ascii="Calibri" w:hAnsi="Calibri" w:cs="Goudy"/>
          <w:i/>
          <w:iCs/>
          <w:color w:val="767171" w:themeColor="background2" w:themeShade="80"/>
          <w:sz w:val="27"/>
          <w:szCs w:val="26"/>
        </w:rPr>
        <w:t xml:space="preserve">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EB1759" w:rsidRDefault="00EB1759" w:rsidP="00EB1759">
      <w:pPr>
        <w:jc w:val="both"/>
        <w:rPr>
          <w:rFonts w:asciiTheme="minorHAnsi" w:hAnsiTheme="minorHAnsi" w:cstheme="minorHAnsi"/>
          <w:color w:val="767171" w:themeColor="background2" w:themeShade="80"/>
          <w:sz w:val="26"/>
          <w:szCs w:val="26"/>
        </w:rPr>
      </w:pPr>
    </w:p>
    <w:p w:rsidR="00EB1759" w:rsidRDefault="00EB1759" w:rsidP="00EB175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EB1759" w:rsidRDefault="00EB1759" w:rsidP="00EB1759">
      <w:pPr>
        <w:pStyle w:val="Normal0"/>
        <w:jc w:val="both"/>
        <w:rPr>
          <w:rFonts w:asciiTheme="minorHAnsi" w:hAnsiTheme="minorHAnsi" w:cstheme="minorHAnsi"/>
          <w:color w:val="767171" w:themeColor="background2" w:themeShade="80"/>
          <w:sz w:val="26"/>
          <w:szCs w:val="26"/>
        </w:rPr>
      </w:pPr>
    </w:p>
    <w:p w:rsidR="00EB1759" w:rsidRDefault="00EB1759" w:rsidP="00EB1759">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EB1759" w:rsidRDefault="00EB1759" w:rsidP="00EB1759">
      <w:pPr>
        <w:pStyle w:val="Textoindependienteprimerasangra"/>
        <w:ind w:firstLine="0"/>
        <w:jc w:val="both"/>
        <w:rPr>
          <w:rFonts w:asciiTheme="minorHAnsi" w:hAnsiTheme="minorHAnsi" w:cstheme="minorHAnsi"/>
          <w:i/>
          <w:color w:val="767171" w:themeColor="background2" w:themeShade="80"/>
          <w:sz w:val="26"/>
          <w:szCs w:val="26"/>
        </w:rPr>
      </w:pP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EB1759" w:rsidRDefault="00EB1759" w:rsidP="00EB1759">
      <w:pPr>
        <w:pStyle w:val="Textoindependienteprimerasangra"/>
        <w:ind w:firstLine="708"/>
        <w:jc w:val="both"/>
        <w:rPr>
          <w:rFonts w:asciiTheme="minorHAnsi" w:hAnsiTheme="minorHAnsi" w:cstheme="minorHAnsi"/>
          <w:color w:val="767171" w:themeColor="background2" w:themeShade="80"/>
          <w:sz w:val="20"/>
          <w:szCs w:val="20"/>
        </w:rPr>
      </w:pPr>
    </w:p>
    <w:p w:rsidR="00EB1759" w:rsidRDefault="00EB1759" w:rsidP="00EB1759">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EB1759" w:rsidRDefault="00EB1759" w:rsidP="00EB1759">
      <w:pPr>
        <w:jc w:val="both"/>
        <w:rPr>
          <w:color w:val="767171" w:themeColor="background2" w:themeShade="80"/>
          <w:sz w:val="20"/>
          <w:szCs w:val="20"/>
        </w:rPr>
      </w:pPr>
    </w:p>
    <w:p w:rsidR="00EB1759" w:rsidRDefault="00EB1759" w:rsidP="00EB1759">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EB1759" w:rsidRDefault="00EB1759" w:rsidP="00EB1759">
      <w:pPr>
        <w:pStyle w:val="Textoindependienteprimerasangra"/>
        <w:jc w:val="both"/>
        <w:rPr>
          <w:rFonts w:asciiTheme="minorHAnsi" w:hAnsiTheme="minorHAnsi" w:cstheme="minorHAnsi"/>
          <w:color w:val="767171" w:themeColor="background2" w:themeShade="80"/>
          <w:sz w:val="20"/>
          <w:szCs w:val="20"/>
        </w:rPr>
      </w:pPr>
    </w:p>
    <w:p w:rsidR="00EB1759" w:rsidRDefault="00EB1759" w:rsidP="00EB1759">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la ciudadana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en contra del oficio impugnado. . . . </w:t>
      </w:r>
    </w:p>
    <w:p w:rsidR="00EB1759" w:rsidRDefault="00EB1759" w:rsidP="00EB1759">
      <w:pPr>
        <w:pStyle w:val="Textoindependienteprimerasangra"/>
        <w:jc w:val="both"/>
        <w:rPr>
          <w:rFonts w:asciiTheme="minorHAnsi" w:hAnsiTheme="minorHAnsi" w:cstheme="minorHAnsi"/>
          <w:b/>
          <w:bCs/>
          <w:i/>
          <w:iCs/>
          <w:color w:val="767171" w:themeColor="background2" w:themeShade="80"/>
          <w:sz w:val="20"/>
          <w:szCs w:val="20"/>
        </w:rPr>
      </w:pPr>
    </w:p>
    <w:p w:rsidR="00EB1759" w:rsidRDefault="00EB1759" w:rsidP="00EB1759">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GCA/2033/15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23</w:t>
      </w:r>
      <w:r>
        <w:rPr>
          <w:rFonts w:asciiTheme="minorHAnsi" w:hAnsiTheme="minorHAnsi" w:cstheme="minorHAnsi"/>
          <w:color w:val="767171" w:themeColor="background2" w:themeShade="80"/>
          <w:sz w:val="26"/>
          <w:szCs w:val="26"/>
        </w:rPr>
        <w:t xml:space="preserve"> veintitrés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la ciudadana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w:t>
      </w:r>
    </w:p>
    <w:p w:rsidR="00EB1759" w:rsidRDefault="00EB1759" w:rsidP="00EB1759">
      <w:pPr>
        <w:pStyle w:val="Textoindependienteprimerasangra"/>
        <w:ind w:firstLine="0"/>
        <w:jc w:val="both"/>
        <w:rPr>
          <w:rFonts w:asciiTheme="minorHAnsi" w:hAnsiTheme="minorHAnsi" w:cstheme="minorHAnsi"/>
          <w:b/>
          <w:bCs/>
          <w:i/>
          <w:iCs/>
          <w:color w:val="767171" w:themeColor="background2" w:themeShade="80"/>
          <w:sz w:val="20"/>
          <w:szCs w:val="20"/>
        </w:rPr>
      </w:pPr>
    </w:p>
    <w:p w:rsidR="00EB1759" w:rsidRDefault="00EB1759" w:rsidP="00EB1759">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EB1759" w:rsidRDefault="00EB1759" w:rsidP="00EB1759">
      <w:pPr>
        <w:pStyle w:val="Textoindependienteprimerasangra"/>
        <w:jc w:val="both"/>
        <w:rPr>
          <w:rFonts w:asciiTheme="minorHAnsi" w:hAnsiTheme="minorHAnsi" w:cstheme="minorHAnsi"/>
          <w:color w:val="767171" w:themeColor="background2" w:themeShade="80"/>
          <w:sz w:val="20"/>
          <w:szCs w:val="20"/>
        </w:rPr>
      </w:pPr>
    </w:p>
    <w:p w:rsidR="00EB1759" w:rsidRDefault="00EB1759" w:rsidP="00EB1759">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EB1759" w:rsidRDefault="00EB1759" w:rsidP="00EB1759">
      <w:pPr>
        <w:pStyle w:val="Textoindependienteprimerasangra"/>
        <w:jc w:val="both"/>
        <w:rPr>
          <w:rFonts w:asciiTheme="minorHAnsi" w:hAnsiTheme="minorHAnsi" w:cstheme="minorHAnsi"/>
          <w:color w:val="767171" w:themeColor="background2" w:themeShade="80"/>
          <w:sz w:val="20"/>
          <w:szCs w:val="20"/>
        </w:rPr>
      </w:pPr>
    </w:p>
    <w:p w:rsidR="00EB1759" w:rsidRDefault="00EB1759" w:rsidP="00EB1759">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59"/>
    <w:rsid w:val="00B237B6"/>
    <w:rsid w:val="00EB17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FD5ED-98ED-4414-B85C-0D80EC1A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59"/>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EB17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B1759"/>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EB1759"/>
    <w:pPr>
      <w:jc w:val="both"/>
    </w:pPr>
    <w:rPr>
      <w:lang w:val="es-MX"/>
    </w:rPr>
  </w:style>
  <w:style w:type="character" w:customStyle="1" w:styleId="TextoindependienteCar">
    <w:name w:val="Texto independiente Car"/>
    <w:basedOn w:val="Fuentedeprrafopredeter"/>
    <w:link w:val="Textoindependiente"/>
    <w:rsid w:val="00EB1759"/>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EB175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1759"/>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EB1759"/>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EB1759"/>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B1759"/>
    <w:rPr>
      <w:rFonts w:ascii="Times New Roman" w:eastAsia="Times New Roman" w:hAnsi="Times New Roman" w:cs="Times New Roman"/>
      <w:sz w:val="24"/>
      <w:szCs w:val="24"/>
      <w:lang w:val="es-ES" w:eastAsia="es-ES"/>
    </w:rPr>
  </w:style>
  <w:style w:type="paragraph" w:customStyle="1" w:styleId="Normal0">
    <w:name w:val="[Normal]"/>
    <w:semiHidden/>
    <w:rsid w:val="00EB1759"/>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EB1759"/>
    <w:rPr>
      <w:b/>
      <w:bCs/>
    </w:rPr>
  </w:style>
  <w:style w:type="character" w:styleId="nfasis">
    <w:name w:val="Emphasis"/>
    <w:basedOn w:val="Fuentedeprrafopredeter"/>
    <w:uiPriority w:val="20"/>
    <w:qFormat/>
    <w:rsid w:val="00EB1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2890</Words>
  <Characters>15897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2017-09-01T16:45:00Z</dcterms:created>
  <dcterms:modified xsi:type="dcterms:W3CDTF">2017-09-01T16:46:00Z</dcterms:modified>
</cp:coreProperties>
</file>